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901"/>
        <w:gridCol w:w="8059"/>
      </w:tblGrid>
      <w:tr w:rsidR="661CE483" w:rsidTr="761B8D3D" w14:paraId="35624659">
        <w:trPr>
          <w:trHeight w:val="1065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661CE483" w:rsidP="661CE483" w:rsidRDefault="661CE483" w14:paraId="0B5455FF" w14:textId="2B1E7B7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>
              <w:br/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 w:rsidR="661CE483">
              <w:drawing>
                <wp:inline wp14:editId="1B1BC3EA" wp14:anchorId="55200AAF">
                  <wp:extent cx="2857500" cy="1381125"/>
                  <wp:effectExtent l="0" t="0" r="0" b="0"/>
                  <wp:docPr id="793597083" name="" descr="C:\Users\resmith\AppData\Local\Microsoft\Windows\INetCache\Content.MSO\70233F52.tmp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21f28c5cffb43f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>
              <w:br/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661CE483" w:rsidP="661CE483" w:rsidRDefault="661CE483" w14:paraId="1C8681CD" w14:textId="275013D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48"/>
                <w:szCs w:val="48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48"/>
                <w:szCs w:val="48"/>
                <w:highlight w:val="yellow"/>
                <w:lang w:val="en-US"/>
              </w:rPr>
              <w:t>[Title of Major/Minor/Program]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48"/>
                <w:szCs w:val="48"/>
                <w:lang w:val="en-US"/>
              </w:rPr>
              <w:t> </w:t>
            </w:r>
          </w:p>
          <w:p w:rsidR="661CE483" w:rsidP="761B8D3D" w:rsidRDefault="661CE483" w14:paraId="3E868F20" w14:textId="68A2941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40"/>
                <w:szCs w:val="40"/>
              </w:rPr>
            </w:pPr>
            <w:r w:rsidRPr="761B8D3D" w:rsidR="1F5F13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40"/>
                <w:szCs w:val="40"/>
                <w:lang w:val="en-US"/>
              </w:rPr>
              <w:t>Academ</w:t>
            </w:r>
            <w:r w:rsidRPr="761B8D3D" w:rsidR="339365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40"/>
                <w:szCs w:val="40"/>
                <w:lang w:val="en-US"/>
              </w:rPr>
              <w:t>ic</w:t>
            </w:r>
            <w:r w:rsidRPr="761B8D3D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40"/>
                <w:szCs w:val="40"/>
                <w:lang w:val="en-US"/>
              </w:rPr>
              <w:t xml:space="preserve"> Assessment Report </w:t>
            </w:r>
            <w:r w:rsidRPr="761B8D3D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40"/>
                <w:szCs w:val="40"/>
                <w:lang w:val="en-US"/>
              </w:rPr>
              <w:t> </w:t>
            </w:r>
          </w:p>
          <w:p w:rsidR="661CE483" w:rsidP="661CE483" w:rsidRDefault="661CE483" w14:paraId="0727E295" w14:textId="563441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40"/>
                <w:szCs w:val="40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40"/>
                <w:szCs w:val="40"/>
                <w:highlight w:val="yellow"/>
                <w:lang w:val="en-US"/>
              </w:rPr>
              <w:t>[Academic Year]</w:t>
            </w:r>
          </w:p>
          <w:p w:rsidR="661CE483" w:rsidP="661CE483" w:rsidRDefault="661CE483" w14:paraId="733B6D16" w14:textId="042E480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 </w:t>
            </w:r>
          </w:p>
        </w:tc>
      </w:tr>
    </w:tbl>
    <w:p xmlns:wp14="http://schemas.microsoft.com/office/word/2010/wordml" w:rsidP="661CE483" wp14:paraId="0946E356" wp14:textId="778F9C0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144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885"/>
        <w:gridCol w:w="10525"/>
      </w:tblGrid>
      <w:tr w:rsidR="661CE483" w:rsidTr="761B8D3D" w14:paraId="09338089">
        <w:trPr>
          <w:trHeight w:val="300"/>
        </w:trPr>
        <w:tc>
          <w:tcPr>
            <w:tcW w:w="3885" w:type="dxa"/>
            <w:tcMar>
              <w:left w:w="105" w:type="dxa"/>
              <w:right w:w="105" w:type="dxa"/>
            </w:tcMar>
            <w:vAlign w:val="top"/>
          </w:tcPr>
          <w:p w:rsidR="661CE483" w:rsidP="661CE483" w:rsidRDefault="661CE483" w14:paraId="2720A90F" w14:textId="09626B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0525" w:type="dxa"/>
            <w:tcMar>
              <w:left w:w="105" w:type="dxa"/>
              <w:right w:w="105" w:type="dxa"/>
            </w:tcMar>
            <w:vAlign w:val="top"/>
          </w:tcPr>
          <w:p w:rsidR="661CE483" w:rsidP="661CE483" w:rsidRDefault="661CE483" w14:paraId="035611CD" w14:textId="2B8A4A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61CE483" w:rsidTr="761B8D3D" w14:paraId="350C7A97">
        <w:trPr>
          <w:trHeight w:val="325"/>
        </w:trPr>
        <w:tc>
          <w:tcPr>
            <w:tcW w:w="3885" w:type="dxa"/>
            <w:tcMar>
              <w:left w:w="105" w:type="dxa"/>
              <w:right w:w="105" w:type="dxa"/>
            </w:tcMar>
            <w:vAlign w:val="top"/>
          </w:tcPr>
          <w:p w:rsidR="661CE483" w:rsidP="761B8D3D" w:rsidRDefault="661CE483" w14:paraId="6B4B4E75" w14:textId="40C19C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1B8D3D" w:rsidR="2C0174E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Faculty Member Completing Report</w:t>
            </w:r>
          </w:p>
        </w:tc>
        <w:tc>
          <w:tcPr>
            <w:tcW w:w="10525" w:type="dxa"/>
            <w:tcMar>
              <w:left w:w="105" w:type="dxa"/>
              <w:right w:w="105" w:type="dxa"/>
            </w:tcMar>
            <w:vAlign w:val="top"/>
          </w:tcPr>
          <w:p w:rsidR="661CE483" w:rsidP="661CE483" w:rsidRDefault="661CE483" w14:paraId="356C1DD8" w14:textId="6521D8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61CE483" wp14:paraId="130B74CC" wp14:textId="687FDEA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661CE483" wp14:paraId="2501F4F5" wp14:textId="3F1F830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402"/>
      </w:tblGrid>
      <w:tr w:rsidR="661CE483" w:rsidTr="661CE483" w14:paraId="3D2747BA">
        <w:trPr>
          <w:trHeight w:val="300"/>
        </w:trPr>
        <w:tc>
          <w:tcPr>
            <w:tcW w:w="144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00000"/>
            <w:tcMar/>
            <w:vAlign w:val="top"/>
          </w:tcPr>
          <w:p w:rsidR="661CE483" w:rsidP="661CE483" w:rsidRDefault="661CE483" w14:paraId="067C49B3" w14:textId="05BB6BE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>Department/Program Mission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 xml:space="preserve">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 </w:t>
            </w:r>
          </w:p>
        </w:tc>
      </w:tr>
      <w:tr w:rsidR="661CE483" w:rsidTr="661CE483" w14:paraId="785E4CF4">
        <w:trPr>
          <w:trHeight w:val="300"/>
        </w:trPr>
        <w:tc>
          <w:tcPr>
            <w:tcW w:w="144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2D4D55A7" w14:textId="2C2AEB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/>
                <w:sz w:val="24"/>
                <w:szCs w:val="24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4472C4"/>
                <w:sz w:val="24"/>
                <w:szCs w:val="24"/>
                <w:lang w:val="en-US"/>
              </w:rPr>
              <w:t xml:space="preserve">Add the mission for the department/program. </w:t>
            </w:r>
          </w:p>
        </w:tc>
      </w:tr>
    </w:tbl>
    <w:p xmlns:wp14="http://schemas.microsoft.com/office/word/2010/wordml" w:rsidP="661CE483" wp14:paraId="7EBF2547" wp14:textId="35422E0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391"/>
      </w:tblGrid>
      <w:tr w:rsidR="661CE483" w:rsidTr="761B8D3D" w14:paraId="3E638D5B">
        <w:trPr>
          <w:trHeight w:val="630"/>
        </w:trPr>
        <w:tc>
          <w:tcPr>
            <w:tcW w:w="1439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0000"/>
            <w:tcMar/>
            <w:vAlign w:val="top"/>
          </w:tcPr>
          <w:p w:rsidR="661CE483" w:rsidP="661CE483" w:rsidRDefault="661CE483" w14:paraId="41ECE3B8" w14:textId="50DCACD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>Assessment Resources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> </w:t>
            </w:r>
          </w:p>
          <w:p w:rsidR="661CE483" w:rsidP="661CE483" w:rsidRDefault="661CE483" w14:paraId="39F47F0D" w14:textId="21FD546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Add links to assessment resources (e.g., rubrics, Excel files) that you use to evaluate SLOs. </w:t>
            </w:r>
          </w:p>
        </w:tc>
      </w:tr>
      <w:tr w:rsidR="661CE483" w:rsidTr="761B8D3D" w14:paraId="74E9D6FF">
        <w:trPr>
          <w:trHeight w:val="300"/>
        </w:trPr>
        <w:tc>
          <w:tcPr>
            <w:tcW w:w="1439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761B8D3D" w:rsidRDefault="661CE483" w14:paraId="6A5530FB" w14:textId="353BC34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1B8D3D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  <w:r w:rsidRPr="761B8D3D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Link rubrics and data analysis here. Links should be OneDrive Links. </w:t>
            </w:r>
            <w:r w:rsidRPr="761B8D3D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</w:tr>
    </w:tbl>
    <w:p xmlns:wp14="http://schemas.microsoft.com/office/word/2010/wordml" w:rsidP="661CE483" wp14:paraId="4D1A0AA3" wp14:textId="3808209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379"/>
      </w:tblGrid>
      <w:tr w:rsidR="661CE483" w:rsidTr="5CE6F461" w14:paraId="75FEDA16">
        <w:trPr>
          <w:trHeight w:val="315"/>
        </w:trPr>
        <w:tc>
          <w:tcPr>
            <w:tcW w:w="143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0000"/>
            <w:tcMar>
              <w:left w:w="105" w:type="dxa"/>
              <w:right w:w="105" w:type="dxa"/>
            </w:tcMar>
            <w:vAlign w:val="top"/>
          </w:tcPr>
          <w:p w:rsidR="661CE483" w:rsidP="661CE483" w:rsidRDefault="661CE483" w14:paraId="53FFD1F7" w14:textId="70234E3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 xml:space="preserve">Who is assessed?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661CE483" w:rsidTr="5CE6F461" w14:paraId="2C9628C3">
        <w:trPr>
          <w:trHeight w:val="300"/>
        </w:trPr>
        <w:tc>
          <w:tcPr>
            <w:tcW w:w="143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1CE483" w:rsidP="661CE483" w:rsidRDefault="661CE483" w14:paraId="5F72111B" w14:textId="0C0B894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State who is assessed (majors or all students enrolled in the class used for assessment). Your audience will vary by major/minor/program. You can assess whoever you like, but you must describe the population clearly and assess that population consistently. </w:t>
            </w:r>
          </w:p>
          <w:p w:rsidR="661CE483" w:rsidP="5CE6F461" w:rsidRDefault="661CE483" w14:paraId="7EEE9985" w14:textId="677170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</w:pPr>
            <w:r w:rsidRPr="5CE6F4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Majors: </w:t>
            </w: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If your academic program has high enrollment, you can assess </w:t>
            </w:r>
            <w:r w:rsidRPr="5CE6F461" w:rsidR="0B2C33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  <w:t>only the declared majors</w:t>
            </w: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. </w:t>
            </w:r>
            <w:r w:rsidRPr="5CE6F461" w:rsidR="661CE48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>Even if your major has low enrollment, you must complete an assessment.</w:t>
            </w:r>
            <w:r w:rsidRPr="5CE6F461" w:rsidR="5367D1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 xml:space="preserve"> In such cases, you can assess any student </w:t>
            </w:r>
            <w:r w:rsidRPr="5CE6F461" w:rsidR="5367D1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>registered</w:t>
            </w:r>
            <w:r w:rsidRPr="5CE6F461" w:rsidR="5367D1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 xml:space="preserve"> in </w:t>
            </w:r>
            <w:r w:rsidRPr="5CE6F461" w:rsidR="1A4825E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>the classes used for assessment</w:t>
            </w:r>
            <w:r w:rsidRPr="5CE6F461" w:rsidR="5367D1A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>.</w:t>
            </w:r>
            <w:r w:rsidRPr="5CE6F461" w:rsidR="661CE48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 xml:space="preserve"> </w:t>
            </w:r>
            <w:r w:rsidRPr="5CE6F461" w:rsidR="661CE48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70C0"/>
                <w:sz w:val="24"/>
                <w:szCs w:val="24"/>
                <w:lang w:val="en-US"/>
              </w:rPr>
              <w:t xml:space="preserve">Contact the Office of Institutional Effectiveness for strategies. </w:t>
            </w:r>
          </w:p>
          <w:p w:rsidR="661CE483" w:rsidP="279F1F61" w:rsidRDefault="661CE483" w14:paraId="38CDF163" w14:textId="4E04A8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All students: </w:t>
            </w:r>
            <w:r w:rsidRPr="279F1F61" w:rsidR="2464C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  <w:t>You a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4"/>
                <w:szCs w:val="24"/>
                <w:lang w:val="en-US"/>
              </w:rPr>
              <w:t xml:space="preserve">ssess any student registered in the class. </w:t>
            </w:r>
          </w:p>
          <w:p w:rsidR="661CE483" w:rsidP="661CE483" w:rsidRDefault="661CE483" w14:paraId="7B7B5963" w14:textId="071A36F3">
            <w:pPr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61CE483" wp14:paraId="52BD8F5C" wp14:textId="67E1A88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1CE483" wp14:paraId="7230DE3E" wp14:textId="099F16A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7923BBC6" wp14:textId="13C9EA8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620EC3DA" wp14:textId="4EF75C4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6BB428C8" wp14:textId="677F35F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1A4C83CE" wp14:textId="315B478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4D60BEE6" wp14:textId="5F7B8BF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62E94628" wp14:textId="45FD4F5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367F1BED" wp14:textId="1AB10A4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345"/>
      </w:tblGrid>
      <w:tr w:rsidR="661CE483" w:rsidTr="661CE483" w14:paraId="4D5DE787">
        <w:trPr>
          <w:trHeight w:val="300"/>
        </w:trPr>
        <w:tc>
          <w:tcPr>
            <w:tcW w:w="14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0000"/>
            <w:tcMar/>
            <w:vAlign w:val="top"/>
          </w:tcPr>
          <w:p w:rsidR="661CE483" w:rsidP="661CE483" w:rsidRDefault="661CE483" w14:paraId="466B86FE" w14:textId="1FF98C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>Plan for Assessing Student Learning Outcomes 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US"/>
              </w:rPr>
              <w:t> </w:t>
            </w:r>
          </w:p>
          <w:p w:rsidR="661CE483" w:rsidP="661CE483" w:rsidRDefault="661CE483" w14:paraId="4C6CCA2F" w14:textId="59C8D54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What should students know at the completion of the program? 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 </w:t>
            </w:r>
          </w:p>
        </w:tc>
      </w:tr>
      <w:tr w:rsidR="661CE483" w:rsidTr="661CE483" w14:paraId="7CCD6856">
        <w:trPr>
          <w:trHeight w:val="300"/>
        </w:trPr>
        <w:tc>
          <w:tcPr>
            <w:tcW w:w="14345" w:type="dxa"/>
            <w:tcBorders>
              <w:top w:val="single" w:sz="6"/>
              <w:left w:val="single" w:sz="6"/>
              <w:bottom w:val="single" w:color="000000" w:themeColor="text1" w:sz="12"/>
              <w:right w:val="single" w:sz="6"/>
            </w:tcBorders>
            <w:tcMar/>
            <w:vAlign w:val="top"/>
          </w:tcPr>
          <w:p w:rsidR="661CE483" w:rsidP="661CE483" w:rsidRDefault="661CE483" w14:paraId="61154119" w14:textId="7DA4665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Complete one section per student learning outcome.  </w:t>
            </w:r>
          </w:p>
        </w:tc>
      </w:tr>
      <w:tr w:rsidR="661CE483" w:rsidTr="661CE483" w14:paraId="140CA74C">
        <w:trPr>
          <w:trHeight w:val="300"/>
        </w:trPr>
        <w:tc>
          <w:tcPr>
            <w:tcW w:w="14345" w:type="dxa"/>
            <w:tcBorders>
              <w:top w:val="single" w:color="000000" w:themeColor="text1" w:sz="12"/>
              <w:left w:val="nil"/>
              <w:bottom w:val="nil"/>
              <w:right w:val="nil"/>
            </w:tcBorders>
            <w:tcMar/>
            <w:vAlign w:val="top"/>
          </w:tcPr>
          <w:p w:rsidR="661CE483" w:rsidP="661CE483" w:rsidRDefault="661CE483" w14:paraId="762527DC" w14:textId="66DCB91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333"/>
      </w:tblGrid>
      <w:tr w:rsidR="661CE483" w:rsidTr="5CE6F461" w14:paraId="51097301">
        <w:trPr>
          <w:trHeight w:val="300"/>
        </w:trPr>
        <w:tc>
          <w:tcPr>
            <w:tcW w:w="143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/>
            <w:vAlign w:val="top"/>
          </w:tcPr>
          <w:p w:rsidR="661CE483" w:rsidP="661CE483" w:rsidRDefault="661CE483" w14:paraId="2921E3E7" w14:textId="45C9338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 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Student Learning Outcome (SLO) 1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 </w:t>
            </w:r>
          </w:p>
        </w:tc>
      </w:tr>
      <w:tr w:rsidR="661CE483" w:rsidTr="5CE6F461" w14:paraId="08A2AB7F">
        <w:trPr>
          <w:trHeight w:val="345"/>
        </w:trPr>
        <w:tc>
          <w:tcPr>
            <w:tcW w:w="143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5CE6F461" w:rsidRDefault="661CE483" w14:paraId="67BD91F8" w14:textId="539B418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5CE6F4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Every academic program should have 3-5 SLOs. These SLOs should: </w:t>
            </w:r>
          </w:p>
          <w:p w:rsidR="661CE483" w:rsidP="5CE6F461" w:rsidRDefault="661CE483" w14:paraId="0002127A" w14:textId="67DA82BA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be clear descriptions of the knowledge, skills, and abilities students should achieve when they complete the academic program; </w:t>
            </w:r>
          </w:p>
          <w:p w:rsidR="661CE483" w:rsidP="5CE6F461" w:rsidRDefault="661CE483" w14:paraId="2B9F4573" w14:textId="294C93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use action words;</w:t>
            </w:r>
          </w:p>
          <w:p w:rsidR="661CE483" w:rsidP="5CE6F461" w:rsidRDefault="661CE483" w14:paraId="15BD8B05" w14:textId="395FE9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be assessed in their entirety; and</w:t>
            </w:r>
          </w:p>
          <w:p w:rsidR="661CE483" w:rsidP="5CE6F461" w:rsidRDefault="661CE483" w14:paraId="27182545" w14:textId="729752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5CE6F4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be assessed twice: once at the beginning of the curriculum (SLO 1a) and once at the end (SLO 1b). </w:t>
            </w:r>
          </w:p>
        </w:tc>
      </w:tr>
    </w:tbl>
    <w:p xmlns:wp14="http://schemas.microsoft.com/office/word/2010/wordml" w:rsidP="661CE483" wp14:paraId="0FE8E996" wp14:textId="64FB9FC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61CE483" wp14:paraId="13A47791" wp14:textId="22ECC43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61CE483" w:rsidR="01721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SLO 1 Assessment </w:t>
      </w: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261"/>
        <w:gridCol w:w="2296"/>
        <w:gridCol w:w="4001"/>
        <w:gridCol w:w="4161"/>
      </w:tblGrid>
      <w:tr w:rsidR="661CE483" w:rsidTr="279F1F61" w14:paraId="7AD070C7">
        <w:trPr>
          <w:trHeight w:val="300"/>
        </w:trPr>
        <w:tc>
          <w:tcPr>
            <w:tcW w:w="6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2717DCC4" w14:textId="09C1F981">
            <w:pPr>
              <w:spacing w:after="0" w:line="240" w:lineRule="auto"/>
              <w:ind w:left="-9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29834C74" w14:textId="475C72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Assessment Tools</w:t>
            </w:r>
          </w:p>
        </w:tc>
        <w:tc>
          <w:tcPr>
            <w:tcW w:w="229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6372C4A8" w14:textId="7D0C9C4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Student Performance Targets</w:t>
            </w:r>
          </w:p>
        </w:tc>
        <w:tc>
          <w:tcPr>
            <w:tcW w:w="40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690F3614" w14:textId="1D252EC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61CE483" w:rsidP="661CE483" w:rsidRDefault="661CE483" w14:paraId="38747FB7" w14:textId="53A44A7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Results</w:t>
            </w:r>
          </w:p>
        </w:tc>
        <w:tc>
          <w:tcPr>
            <w:tcW w:w="41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54564093" w14:textId="5FC124F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Analysis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</w:tr>
      <w:tr w:rsidR="661CE483" w:rsidTr="279F1F61" w14:paraId="6E50E06C">
        <w:trPr>
          <w:trHeight w:val="1485"/>
        </w:trPr>
        <w:tc>
          <w:tcPr>
            <w:tcW w:w="6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7FF2784B" w14:textId="2EE5866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SLO 1a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67621027" w14:textId="634BB99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Identify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a course and an assignment at the beginning of the curriculum. This is SLO 1a.</w:t>
            </w:r>
          </w:p>
          <w:p w:rsidR="661CE483" w:rsidP="661CE483" w:rsidRDefault="661CE483" w14:paraId="5556B7E4" w14:textId="39C9910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27392508" w14:textId="1C198A1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Succinctly describe the tools used to assess SLO 1a. These tools are: </w:t>
            </w:r>
          </w:p>
          <w:p w:rsidR="661CE483" w:rsidP="661CE483" w:rsidRDefault="661CE483" w14:paraId="3319AAB2" w14:textId="79B618B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3CBE677E" w14:textId="594E07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the 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course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and when it is offered, </w:t>
            </w:r>
          </w:p>
          <w:p w:rsidR="661CE483" w:rsidP="661CE483" w:rsidRDefault="661CE483" w14:paraId="5E57BDAD" w14:textId="789845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the 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assignment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(e.g., embedded test questions, quiz, paper, presentation),</w:t>
            </w:r>
          </w:p>
          <w:p w:rsidR="661CE483" w:rsidP="661CE483" w:rsidRDefault="661CE483" w14:paraId="487F0CA2" w14:textId="5206EA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the 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connection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between the SLO and the assignment (if not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evident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), and</w:t>
            </w:r>
          </w:p>
          <w:p w:rsidR="661CE483" w:rsidP="661CE483" w:rsidRDefault="661CE483" w14:paraId="21B0C353" w14:textId="5108E4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how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the assignment will be assessed (e.g., rubric).</w:t>
            </w:r>
          </w:p>
          <w:p w:rsidR="661CE483" w:rsidP="661CE483" w:rsidRDefault="661CE483" w14:paraId="7E4E9545" w14:textId="5C116F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61CE483" w:rsidP="661CE483" w:rsidRDefault="661CE483" w14:paraId="04383D26" w14:textId="7F40F8AC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Some tools should be described in detail: </w:t>
            </w:r>
          </w:p>
          <w:p w:rsidR="661CE483" w:rsidP="279F1F61" w:rsidRDefault="661CE483" w14:paraId="487E09A7" w14:textId="0FAB27AA">
            <w:pPr>
              <w:pStyle w:val="ListParagraph"/>
              <w:numPr>
                <w:ilvl w:val="0"/>
                <w:numId w:val="20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Course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: State how often the course will be assessed (e.g., </w:t>
            </w:r>
            <w:r w:rsidRPr="279F1F61" w:rsidR="507A27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annually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, every other year) based on the course rotation schedule.</w:t>
            </w:r>
          </w:p>
          <w:p w:rsidR="661CE483" w:rsidP="279F1F61" w:rsidRDefault="661CE483" w14:paraId="06134E72" w14:textId="219E254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Assignment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: State how often the assignment will be given (e.g., essay </w:t>
            </w:r>
            <w:r w:rsidRPr="279F1F61" w:rsidR="1D451D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given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at end of course, pre- and post-test).</w:t>
            </w:r>
          </w:p>
          <w:p w:rsidR="661CE483" w:rsidP="661CE483" w:rsidRDefault="661CE483" w14:paraId="3CD9D562" w14:textId="1371FEA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0" w:hanging="2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Rubric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: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Identify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the components of the rubric that relate to the SLO.</w:t>
            </w:r>
          </w:p>
        </w:tc>
        <w:tc>
          <w:tcPr>
            <w:tcW w:w="229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71877996" w14:textId="3ECDBB2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Succinctly describe the minimum threshold for student performance, referring back to the tool used for assessment (e.g., rubric).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  <w:p w:rsidR="661CE483" w:rsidP="661CE483" w:rsidRDefault="661CE483" w14:paraId="55D24795" w14:textId="280C68B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7DEB265B" w14:textId="5B865AC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Examples</w:t>
            </w:r>
          </w:p>
          <w:p w:rsidR="661CE483" w:rsidP="661CE483" w:rsidRDefault="661CE483" w14:paraId="6C5F87C7" w14:textId="1D950F3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084ABE94" w14:textId="02C4682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85% of students will score 80 out of 100 on the evolution quiz.</w:t>
            </w:r>
          </w:p>
          <w:p w:rsidR="661CE483" w:rsidP="661CE483" w:rsidRDefault="661CE483" w14:paraId="497B8FC2" w14:textId="0C07968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279F1F61" w:rsidRDefault="661CE483" w14:paraId="523F4FF3" w14:textId="77E875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Students will improve test scores by 20% from BIOL 101 to BIOL </w:t>
            </w:r>
            <w:r w:rsidRPr="279F1F61" w:rsidR="77A17F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3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0</w:t>
            </w:r>
            <w:r w:rsidRPr="279F1F61" w:rsidR="03E12E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1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.</w:t>
            </w:r>
          </w:p>
          <w:p w:rsidR="661CE483" w:rsidP="661CE483" w:rsidRDefault="661CE483" w14:paraId="7FF4BCEC" w14:textId="4DC5841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117B57F5" w14:textId="5590EA5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85% of students will receive a score of 3.0 or higher on each of the following components of the rubric: thesis and literary analysis. </w:t>
            </w:r>
          </w:p>
        </w:tc>
        <w:tc>
          <w:tcPr>
            <w:tcW w:w="40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3CF1E17A" w14:textId="0202DEF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Succinctly list all relevant results:</w:t>
            </w:r>
          </w:p>
          <w:p w:rsidR="661CE483" w:rsidP="661CE483" w:rsidRDefault="661CE483" w14:paraId="570C9BED" w14:textId="64384B8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  <w:p w:rsidR="661CE483" w:rsidP="661CE483" w:rsidRDefault="661CE483" w14:paraId="404D8E2D" w14:textId="259D0E5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Report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the number of students included in the analysis. </w:t>
            </w:r>
          </w:p>
          <w:p w:rsidR="661CE483" w:rsidP="661CE483" w:rsidRDefault="661CE483" w14:paraId="01A69D0C" w14:textId="1FD738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Report the overall average, as well as the scores of individual rubric components listed under Assessment Tools.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  <w:p w:rsidR="661CE483" w:rsidP="661CE483" w:rsidRDefault="661CE483" w14:paraId="794C095C" w14:textId="5564086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7B4ADA1D" w14:textId="678F6FF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When using a rubric: </w:t>
            </w:r>
          </w:p>
          <w:p w:rsidR="661CE483" w:rsidP="661CE483" w:rsidRDefault="661CE483" w14:paraId="6503AEA2" w14:textId="2EC2C1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Report student performance on rubric components</w:t>
            </w:r>
            <w:r w:rsidRPr="661CE483" w:rsidR="3DE35D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relevant to the SLO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.</w:t>
            </w:r>
          </w:p>
          <w:p w:rsidR="661CE483" w:rsidP="661CE483" w:rsidRDefault="661CE483" w14:paraId="06D2EF53" w14:textId="0E004D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Report the mean score for the whole rubric or the rubric components you used, if relevant. </w:t>
            </w:r>
          </w:p>
          <w:p w:rsidR="661CE483" w:rsidP="661CE483" w:rsidRDefault="661CE483" w14:paraId="5F8512D2" w14:textId="1A37FF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Do not use the same rubric scores for multiple SLOs. This means you cannot distinguish student performance. </w:t>
            </w:r>
          </w:p>
          <w:p w:rsidR="661CE483" w:rsidP="661CE483" w:rsidRDefault="661CE483" w14:paraId="1C30A570" w14:textId="5C996B3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45C5B2AF" w14:textId="58B5727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When using embedded test questions: </w:t>
            </w:r>
          </w:p>
          <w:p w:rsidR="661CE483" w:rsidP="279F1F61" w:rsidRDefault="661CE483" w14:paraId="6C9A073C" w14:textId="258DB63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Report student performance by topic; do not report </w:t>
            </w:r>
            <w:r w:rsidRPr="279F1F61" w:rsidR="5C76C2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the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mean test grade of all students. </w:t>
            </w:r>
          </w:p>
          <w:p w:rsidR="661CE483" w:rsidP="661CE483" w:rsidRDefault="661CE483" w14:paraId="6B91D8D8" w14:textId="2C18830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</w:tc>
        <w:tc>
          <w:tcPr>
            <w:tcW w:w="41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15C9A987" w14:textId="455469D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Based on the results, describe the strengths and weaknesses of student performance. Reference the results to defend your analysis. </w:t>
            </w:r>
          </w:p>
          <w:p w:rsidR="661CE483" w:rsidP="661CE483" w:rsidRDefault="661CE483" w14:paraId="6C169086" w14:textId="7EB6CEE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69D33F9F" w14:textId="72155CD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Strengths: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Describe what students are doing well. </w:t>
            </w:r>
          </w:p>
          <w:p w:rsidR="661CE483" w:rsidP="661CE483" w:rsidRDefault="661CE483" w14:paraId="091C1438" w14:textId="4DB7F37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0E12CD02" w14:textId="49790DE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Weaknesses: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Describe where students need to improve. </w:t>
            </w:r>
          </w:p>
          <w:p w:rsidR="661CE483" w:rsidP="661CE483" w:rsidRDefault="661CE483" w14:paraId="04448C39" w14:textId="64DF299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1CA46944" w14:textId="3DC936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Previous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Improvements: 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Connect the results to the improvements that were implemented. </w:t>
            </w:r>
          </w:p>
          <w:p w:rsidR="661CE483" w:rsidP="661CE483" w:rsidRDefault="661CE483" w14:paraId="6FE91CC8" w14:textId="015B92E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</w:tc>
      </w:tr>
      <w:tr w:rsidR="661CE483" w:rsidTr="279F1F61" w14:paraId="4D7635B4">
        <w:trPr>
          <w:trHeight w:val="1305"/>
        </w:trPr>
        <w:tc>
          <w:tcPr>
            <w:tcW w:w="6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256EFD45" w14:textId="5DC6BD3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SLO 1b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5CFB6F71" w14:textId="44A473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Identify</w:t>
            </w: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a course and an assignment toward the end of the curriculum. This is SLO 1b.</w:t>
            </w:r>
          </w:p>
          <w:p w:rsidR="661CE483" w:rsidP="661CE483" w:rsidRDefault="661CE483" w14:paraId="15D95998" w14:textId="30694A9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279F1F61" w:rsidRDefault="661CE483" w14:paraId="650C1F81" w14:textId="730837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Follow the same directions you followed for SLO 1</w:t>
            </w:r>
            <w:r w:rsidRPr="279F1F61" w:rsidR="0921F1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a</w:t>
            </w: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.</w:t>
            </w: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9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32C42700" w14:textId="59D06BF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40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0F9BFC50" w14:textId="69A72FB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6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2C9F4081" w14:textId="42FB432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</w:tr>
    </w:tbl>
    <w:p xmlns:wp14="http://schemas.microsoft.com/office/word/2010/wordml" w:rsidP="661CE483" wp14:paraId="6B5D3163" wp14:textId="1394EE0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61CE483" wp14:paraId="31F06852" wp14:textId="0789439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661CE483" w:rsidR="01721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SLO 1 Improvement Plan</w:t>
      </w:r>
      <w:r w:rsidRPr="661CE483" w:rsidR="01721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4425"/>
        <w:gridCol w:w="4313"/>
        <w:gridCol w:w="4784"/>
      </w:tblGrid>
      <w:tr w:rsidR="661CE483" w:rsidTr="279F1F61" w14:paraId="54108FCB">
        <w:trPr>
          <w:trHeight w:val="300"/>
        </w:trPr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6D49AAC4" w14:textId="03161B9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4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763A8C2E" w14:textId="662EB60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Improvements Implemented in 2023-2024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5416CD23" w14:textId="57615F4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Were the 2023-2024 improvements successful? 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47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61CE483" w:rsidP="661CE483" w:rsidRDefault="661CE483" w14:paraId="533FD262" w14:textId="5F23ED6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Improvements Planned for 2024-2025</w:t>
            </w:r>
            <w:r w:rsidRPr="661CE483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</w:p>
        </w:tc>
      </w:tr>
      <w:tr w:rsidR="661CE483" w:rsidTr="279F1F61" w14:paraId="5E70441C">
        <w:trPr>
          <w:trHeight w:val="720"/>
        </w:trPr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42840286" w14:textId="2C19AFC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SLO 1a</w:t>
            </w:r>
          </w:p>
        </w:tc>
        <w:tc>
          <w:tcPr>
            <w:tcW w:w="4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279F1F61" w:rsidRDefault="661CE483" w14:paraId="21CDE81B" w14:textId="41F9EBA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Copy and paste the improvements listed in the </w:t>
            </w: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>previous</w:t>
            </w: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assessment report. </w:t>
            </w:r>
          </w:p>
          <w:p w:rsidR="661CE483" w:rsidP="661CE483" w:rsidRDefault="661CE483" w14:paraId="74934B10" w14:textId="39225D8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61CE483" w:rsidP="661CE483" w:rsidRDefault="661CE483" w14:paraId="031B6BEE" w14:textId="5EADAAF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279F1F61" w:rsidRDefault="661CE483" w14:paraId="780C97FC" w14:textId="328FBD7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If you implemented the improvements: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Did the improvements yield improvement in student performance? Why or why not?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  <w:p w:rsidR="661CE483" w:rsidP="661CE483" w:rsidRDefault="661CE483" w14:paraId="5C0421B4" w14:textId="48081B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279F1F61" w:rsidRDefault="661CE483" w14:paraId="622549C5" w14:textId="4A0CEF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If you did not implement the improvements: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State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why you did not implement the improvements.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  <w:p w:rsidR="661CE483" w:rsidP="661CE483" w:rsidRDefault="661CE483" w14:paraId="6D8C3E1F" w14:textId="6BFB90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2DE06F11" w14:textId="4AFA620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661CE483" w:rsidRDefault="661CE483" w14:paraId="2C543DA6" w14:textId="1A2C4EA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279F1F61" w:rsidRDefault="661CE483" w14:paraId="41A688C0" w14:textId="4F0F252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70C0"/>
                <w:sz w:val="22"/>
                <w:szCs w:val="22"/>
                <w:u w:val="none"/>
                <w:lang w:val="en-US"/>
              </w:rPr>
              <w:t xml:space="preserve">Improvements should be tied to student learning: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70C0"/>
                <w:sz w:val="22"/>
                <w:szCs w:val="22"/>
                <w:u w:val="none"/>
                <w:lang w:val="en-US"/>
              </w:rPr>
              <w:t>Describe the improvements faculty will make to help students achieve the desired outcomes. These improvements should connect to the weaknesses described in the analysis section.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70C0"/>
                <w:sz w:val="22"/>
                <w:szCs w:val="22"/>
                <w:u w:val="none"/>
                <w:lang w:val="en-US"/>
              </w:rPr>
              <w:t xml:space="preserve"> </w:t>
            </w:r>
          </w:p>
          <w:p w:rsidR="661CE483" w:rsidP="661CE483" w:rsidRDefault="661CE483" w14:paraId="2357F897" w14:textId="2A5198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</w:p>
          <w:p w:rsidR="661CE483" w:rsidP="279F1F61" w:rsidRDefault="661CE483" w14:paraId="14F622A3" w14:textId="18C785F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279F1F61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Other improvements: 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Changes to the curriculum may result in changes to how you design the assessment. </w:t>
            </w:r>
            <w:r w:rsidRPr="279F1F61" w:rsidR="4C52C2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Or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, poor assessment result</w:t>
            </w:r>
            <w:r w:rsidRPr="279F1F61" w:rsidR="56AB12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>s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may be a consequence of poor assessment design. If such changes are planned, describe them here.</w:t>
            </w:r>
            <w:r w:rsidRPr="279F1F61" w:rsidR="661CE4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</w:tr>
      <w:tr w:rsidR="661CE483" w:rsidTr="279F1F61" w14:paraId="4DE4EE8F">
        <w:trPr>
          <w:trHeight w:val="720"/>
        </w:trPr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540B194A" w14:textId="42EFDF0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SLO 1b</w:t>
            </w:r>
          </w:p>
        </w:tc>
        <w:tc>
          <w:tcPr>
            <w:tcW w:w="4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76762B94" w14:textId="42CDB98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  <w:lang w:val="en-US"/>
              </w:rPr>
            </w:pPr>
            <w:r w:rsidRPr="661CE483" w:rsidR="661CE4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US"/>
              </w:rPr>
              <w:t xml:space="preserve">Provide the same information for SLO 1b. </w:t>
            </w:r>
          </w:p>
        </w:tc>
        <w:tc>
          <w:tcPr>
            <w:tcW w:w="43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205CEB23" w14:textId="5D2FBA1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47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61CE483" w:rsidP="661CE483" w:rsidRDefault="661CE483" w14:paraId="0AF44711" w14:textId="5AF4089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p14:paraId="2C078E63" wp14:textId="6D799F54"/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571f8b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a8e0c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695dab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35d3da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b7976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92cb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7794e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48b5919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7807bf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2a999a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e30e44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d74218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865698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021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a3d413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909775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977e37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af06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290db1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4820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747F6"/>
    <w:rsid w:val="01721A63"/>
    <w:rsid w:val="03E12E86"/>
    <w:rsid w:val="08D80DA0"/>
    <w:rsid w:val="0921F1BB"/>
    <w:rsid w:val="0A6C5210"/>
    <w:rsid w:val="0A819E77"/>
    <w:rsid w:val="0B2C3336"/>
    <w:rsid w:val="0B2DABDE"/>
    <w:rsid w:val="12D3AB7B"/>
    <w:rsid w:val="19324A39"/>
    <w:rsid w:val="1A2FAAAD"/>
    <w:rsid w:val="1A4825E0"/>
    <w:rsid w:val="1D00607B"/>
    <w:rsid w:val="1D451DD5"/>
    <w:rsid w:val="1F5F13FD"/>
    <w:rsid w:val="23A82CB9"/>
    <w:rsid w:val="240D6AE1"/>
    <w:rsid w:val="2464C1DA"/>
    <w:rsid w:val="279F1F61"/>
    <w:rsid w:val="2C0174E8"/>
    <w:rsid w:val="2CE48BB2"/>
    <w:rsid w:val="2CE48BB2"/>
    <w:rsid w:val="2E6FDEDC"/>
    <w:rsid w:val="33936583"/>
    <w:rsid w:val="3DE35D3F"/>
    <w:rsid w:val="42D688C3"/>
    <w:rsid w:val="46FCCBA0"/>
    <w:rsid w:val="47665A15"/>
    <w:rsid w:val="47A1A812"/>
    <w:rsid w:val="4BB7E8ED"/>
    <w:rsid w:val="4C52C2C5"/>
    <w:rsid w:val="4E069412"/>
    <w:rsid w:val="507A27C7"/>
    <w:rsid w:val="5367D1AA"/>
    <w:rsid w:val="56AB1294"/>
    <w:rsid w:val="574747F6"/>
    <w:rsid w:val="59404CE5"/>
    <w:rsid w:val="5C76C2EC"/>
    <w:rsid w:val="5CA21C58"/>
    <w:rsid w:val="5CE6F461"/>
    <w:rsid w:val="5D1AED9F"/>
    <w:rsid w:val="5D1AED9F"/>
    <w:rsid w:val="5D4CC99D"/>
    <w:rsid w:val="65B2B22F"/>
    <w:rsid w:val="661CE483"/>
    <w:rsid w:val="6D0E3EEA"/>
    <w:rsid w:val="71843291"/>
    <w:rsid w:val="761B8D3D"/>
    <w:rsid w:val="767DDCB1"/>
    <w:rsid w:val="77A17F90"/>
    <w:rsid w:val="7CD5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47F6"/>
  <w15:chartTrackingRefBased/>
  <w15:docId w15:val="{1C5B08AC-6529-4A80-B13A-A2DCF2840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21f28c5cffb43fe" /><Relationship Type="http://schemas.openxmlformats.org/officeDocument/2006/relationships/numbering" Target="numbering.xml" Id="R970fa8b8dd31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2024-08-09T15:58:39.0659957Z</dcterms:created>
  <dcterms:modified xsi:type="dcterms:W3CDTF">2024-10-31T19:21:05.4179647Z</dcterms:modified>
  <dc:creator>Rachel E. Smith</dc:creator>
  <lastModifiedBy>Hunter DiPaolo</lastModifiedBy>
</coreProperties>
</file>